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38107F21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9C4E00">
        <w:rPr>
          <w:rFonts w:ascii="Times New Roman" w:hAnsi="Times New Roman" w:cs="Times New Roman"/>
          <w:sz w:val="26"/>
          <w:szCs w:val="26"/>
        </w:rPr>
        <w:t xml:space="preserve">в лице представителя Алексеева Константина Сергеевича  </w:t>
      </w:r>
      <w:r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="002C4F9E">
        <w:rPr>
          <w:rFonts w:ascii="Times New Roman" w:hAnsi="Times New Roman" w:cs="Times New Roman"/>
          <w:sz w:val="26"/>
          <w:szCs w:val="26"/>
        </w:rPr>
        <w:t xml:space="preserve">действующего по </w:t>
      </w:r>
      <w:r w:rsidR="009C4E00">
        <w:rPr>
          <w:rFonts w:ascii="Times New Roman" w:hAnsi="Times New Roman" w:cs="Times New Roman"/>
          <w:sz w:val="26"/>
          <w:szCs w:val="26"/>
        </w:rPr>
        <w:t>д</w:t>
      </w:r>
      <w:r w:rsidR="009C4E00" w:rsidRPr="005D35B2">
        <w:rPr>
          <w:rFonts w:ascii="Times New Roman" w:hAnsi="Times New Roman" w:cs="Times New Roman"/>
          <w:sz w:val="26"/>
          <w:szCs w:val="26"/>
        </w:rPr>
        <w:t>оверенности</w:t>
      </w:r>
      <w:r w:rsidRPr="005D35B2">
        <w:rPr>
          <w:rFonts w:ascii="Times New Roman" w:hAnsi="Times New Roman" w:cs="Times New Roman"/>
          <w:sz w:val="26"/>
          <w:szCs w:val="26"/>
        </w:rPr>
        <w:t xml:space="preserve"> б/н от 2</w:t>
      </w:r>
      <w:r w:rsidR="009C4E00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.1</w:t>
      </w:r>
      <w:r w:rsidR="009C4E00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24B1FDF6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D80678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Сторонами, руководствуясь положениями п.8 ч.1 ст.93 Федерального закона от 05.04.2013 №44-ФЗ "О контрактной системе в сфере закупок товаров, работ, услуг для обеспечения государственных и муниципальных нужд", Постановлением Правительства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 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4FE8C662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 крупногабаритных отходов </w:t>
      </w:r>
      <w:r w:rsidR="00636B44">
        <w:rPr>
          <w:rFonts w:ascii="Times New Roman" w:hAnsi="Times New Roman" w:cs="Times New Roman"/>
          <w:sz w:val="26"/>
          <w:szCs w:val="26"/>
        </w:rPr>
        <w:t>–нет.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73915FDE" w14:textId="3B82EF7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2B17BF4F" w14:textId="77777777" w:rsidR="001E6D15" w:rsidRPr="005D35B2" w:rsidRDefault="001E6D15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0DF0BA6B" w14:textId="77777777" w:rsidR="00D62A32" w:rsidRDefault="00D62A32" w:rsidP="00D62A3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01.01.2022г. – 684,54 руб., без учета НДС, с 01.07.2022г. – 711,92 руб., без учета НДС.</w:t>
      </w:r>
    </w:p>
    <w:p w14:paraId="672C5311" w14:textId="77777777" w:rsidR="00D62A32" w:rsidRDefault="00D62A32" w:rsidP="00D62A3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</w:t>
      </w:r>
      <w:proofErr w:type="gramStart"/>
      <w:r>
        <w:rPr>
          <w:rFonts w:ascii="Times New Roman" w:hAnsi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01.01.2022г. – 570,64 руб., без учета НДС, с 01.07.2022г. – 570,64 руб., без учета НДС.</w:t>
      </w:r>
    </w:p>
    <w:p w14:paraId="2113CD66" w14:textId="77777777" w:rsidR="00B95F6C" w:rsidRPr="00EE7613" w:rsidRDefault="00B95F6C" w:rsidP="00B95F6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Цена договора является твердой, определяется на весь срок исполнения договора и не может изменяться в ходе его исполнения, за исключением случаев, предусмотренных законодательством Российской Федерации. Изменение цены договора в этом случае оформляется Сторонами дополнительным соглашением к договору.</w:t>
      </w:r>
    </w:p>
    <w:p w14:paraId="6F647801" w14:textId="2ADFB74C" w:rsidR="00B95F6C" w:rsidRPr="00114748" w:rsidRDefault="00B95F6C" w:rsidP="00B95F6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При вступлении в силу нормативных правовых актов Псковской области, изменяющих порядок определения стоимости оказываемых услуг, действующий тариф и (или) нормативы накопления ТКО,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установленными приказами соответствующих уполномоченных органом государственной власти Псковской области.</w:t>
      </w:r>
    </w:p>
    <w:p w14:paraId="71BB93DD" w14:textId="77777777" w:rsidR="00803642" w:rsidRPr="00114748" w:rsidRDefault="00803642" w:rsidP="0011474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748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37A177C0" w14:textId="77777777" w:rsidR="009120A9" w:rsidRPr="005D35B2" w:rsidRDefault="009120A9" w:rsidP="009120A9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487BCB01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Потребитель в многоквартирном доме или жилом доме оплачивает коммунальную услугу по оказанию услуг по обращению с твердыми коммунальными отходами в </w:t>
      </w:r>
      <w:r w:rsidRPr="009120A9">
        <w:rPr>
          <w:rFonts w:ascii="Times New Roman" w:hAnsi="Times New Roman" w:cs="Times New Roman"/>
          <w:sz w:val="26"/>
          <w:szCs w:val="26"/>
        </w:rPr>
        <w:t>соответствии с жилищным законодательством Российской Федерации.</w:t>
      </w:r>
    </w:p>
    <w:p w14:paraId="5027BF6D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1FE79F2D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</w:t>
      </w:r>
      <w:r w:rsidRPr="009120A9">
        <w:rPr>
          <w:rFonts w:ascii="Times New Roman" w:hAnsi="Times New Roman" w:cs="Times New Roman"/>
          <w:sz w:val="26"/>
          <w:szCs w:val="26"/>
        </w:rPr>
        <w:lastRenderedPageBreak/>
        <w:t xml:space="preserve">учетными документами и счетами-фактурами согласовано Сторонами.  </w:t>
      </w:r>
    </w:p>
    <w:p w14:paraId="13D24E61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0615883A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0317DA43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120A9">
        <w:rPr>
          <w:rFonts w:ascii="Times New Roman" w:hAnsi="Times New Roman" w:cs="Times New Roman"/>
          <w:sz w:val="26"/>
          <w:szCs w:val="26"/>
        </w:rPr>
        <w:t>-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120A9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120A9">
        <w:rPr>
          <w:rFonts w:ascii="Times New Roman" w:hAnsi="Times New Roman" w:cs="Times New Roman"/>
          <w:sz w:val="26"/>
          <w:szCs w:val="26"/>
        </w:rPr>
        <w:t xml:space="preserve">,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9120A9">
        <w:rPr>
          <w:rFonts w:ascii="Times New Roman" w:hAnsi="Times New Roman" w:cs="Times New Roman"/>
          <w:sz w:val="26"/>
          <w:szCs w:val="26"/>
        </w:rPr>
        <w:t xml:space="preserve">,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9120A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120A9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9120A9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451CF0DD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025134CB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6.3. Основанием для оплаты по настоящему Договору является </w:t>
      </w:r>
      <w:proofErr w:type="gramStart"/>
      <w:r w:rsidRPr="009120A9">
        <w:rPr>
          <w:rFonts w:ascii="Times New Roman" w:hAnsi="Times New Roman" w:cs="Times New Roman"/>
          <w:sz w:val="26"/>
          <w:szCs w:val="26"/>
        </w:rPr>
        <w:t>Акт</w:t>
      </w:r>
      <w:proofErr w:type="gramEnd"/>
      <w:r w:rsidRPr="009120A9">
        <w:rPr>
          <w:rFonts w:ascii="Times New Roman" w:hAnsi="Times New Roman" w:cs="Times New Roman"/>
          <w:sz w:val="26"/>
          <w:szCs w:val="26"/>
        </w:rPr>
        <w:t xml:space="preserve">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00630673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1FB0DD1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9120A9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9120A9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74E09EC" w14:textId="77777777" w:rsidR="009120A9" w:rsidRPr="009120A9" w:rsidRDefault="009120A9" w:rsidP="009120A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20A9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9120A9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120A9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9120A9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8</w:t>
      </w:r>
      <w:r w:rsidR="00B947C7" w:rsidRPr="009120A9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9120A9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9120A9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 w:rsidRPr="009120A9">
        <w:rPr>
          <w:rFonts w:ascii="Times New Roman" w:hAnsi="Times New Roman" w:cs="Times New Roman"/>
          <w:sz w:val="26"/>
          <w:szCs w:val="26"/>
        </w:rPr>
        <w:lastRenderedPageBreak/>
        <w:t>предусмотренном законодательством Российской Федерации;</w:t>
      </w:r>
    </w:p>
    <w:p w14:paraId="541E9035" w14:textId="77777777" w:rsidR="00B947C7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9120A9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9120A9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20A9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9120A9">
        <w:rPr>
          <w:rFonts w:ascii="Times New Roman" w:hAnsi="Times New Roman" w:cs="Times New Roman"/>
          <w:sz w:val="26"/>
          <w:szCs w:val="26"/>
        </w:rPr>
        <w:t>,</w:t>
      </w:r>
      <w:r w:rsidRPr="009120A9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9120A9">
        <w:rPr>
          <w:rFonts w:ascii="Times New Roman" w:hAnsi="Times New Roman" w:cs="Times New Roman"/>
          <w:sz w:val="26"/>
          <w:szCs w:val="26"/>
        </w:rPr>
        <w:t>,</w:t>
      </w:r>
      <w:r w:rsidRPr="009120A9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</w:t>
      </w:r>
      <w:proofErr w:type="gramStart"/>
      <w:r w:rsidRPr="009120A9">
        <w:rPr>
          <w:rFonts w:ascii="Times New Roman" w:hAnsi="Times New Roman" w:cs="Times New Roman"/>
          <w:sz w:val="26"/>
          <w:szCs w:val="26"/>
        </w:rPr>
        <w:t>для смешенных отходах</w:t>
      </w:r>
      <w:proofErr w:type="gramEnd"/>
      <w:r w:rsidRPr="009120A9">
        <w:rPr>
          <w:rFonts w:ascii="Times New Roman" w:hAnsi="Times New Roman" w:cs="Times New Roman"/>
          <w:sz w:val="26"/>
          <w:szCs w:val="26"/>
        </w:rPr>
        <w:t>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</w:t>
      </w:r>
      <w:proofErr w:type="spellStart"/>
      <w:r w:rsidR="004A5E00" w:rsidRPr="005D35B2">
        <w:rPr>
          <w:rFonts w:ascii="Times New Roman" w:hAnsi="Times New Roman" w:cs="Times New Roman"/>
          <w:sz w:val="26"/>
          <w:szCs w:val="26"/>
        </w:rPr>
        <w:t>евроконтейнеров</w:t>
      </w:r>
      <w:proofErr w:type="spellEnd"/>
      <w:r w:rsidR="004A5E00" w:rsidRPr="005D35B2">
        <w:rPr>
          <w:rFonts w:ascii="Times New Roman" w:hAnsi="Times New Roman" w:cs="Times New Roman"/>
          <w:sz w:val="26"/>
          <w:szCs w:val="26"/>
        </w:rPr>
        <w:t>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, телефонограмма, информационно-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 xml:space="preserve">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</w:t>
      </w:r>
      <w:proofErr w:type="gramStart"/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>беспечивать</w:t>
      </w:r>
      <w:proofErr w:type="gramEnd"/>
      <w:r w:rsidRPr="005D35B2">
        <w:rPr>
          <w:rFonts w:ascii="Times New Roman" w:hAnsi="Times New Roman"/>
          <w:color w:val="333333"/>
          <w:sz w:val="26"/>
          <w:szCs w:val="26"/>
        </w:rPr>
        <w:t xml:space="preserve">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7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Правил  коммерческого 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</w:t>
      </w:r>
      <w:r w:rsidR="00B947C7" w:rsidRPr="005D35B2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1928D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928D8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4E1B9A84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</w:t>
      </w:r>
      <w:proofErr w:type="gramStart"/>
      <w:r w:rsidRPr="005D35B2">
        <w:rPr>
          <w:rFonts w:ascii="Times New Roman" w:hAnsi="Times New Roman" w:cs="Times New Roman"/>
          <w:sz w:val="26"/>
          <w:szCs w:val="26"/>
        </w:rPr>
        <w:t>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End"/>
      <w:r w:rsidRPr="005D35B2">
        <w:rPr>
          <w:rFonts w:ascii="Times New Roman" w:hAnsi="Times New Roman" w:cs="Times New Roman"/>
          <w:i/>
          <w:iCs/>
          <w:sz w:val="26"/>
          <w:szCs w:val="26"/>
        </w:rPr>
        <w:t>указывается срок)</w:t>
      </w:r>
    </w:p>
    <w:p w14:paraId="08A8AAE0" w14:textId="66E25495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DC38D38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5890C859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9B6803B" w14:textId="77777777" w:rsidR="00D139C9" w:rsidRDefault="00D139C9" w:rsidP="00D139C9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5AAF82AB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76470F3D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1A00991" w:rsidR="00B947C7" w:rsidRPr="005D35B2" w:rsidRDefault="0062307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07C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21CB56E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62307C" w:rsidRPr="009C4E00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636B44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300F72DF" w14:textId="77777777" w:rsidR="00636B44" w:rsidRPr="005D35B2" w:rsidRDefault="00636B44" w:rsidP="00636B44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3B395C9A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22A25C2F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49B7418D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2AA621D2" w14:textId="414089AC" w:rsidR="00636B44" w:rsidRDefault="00636B44" w:rsidP="002A24B5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426C4670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4ED705A9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2A010F78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05BB37BA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7A5598D5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40D52169" w14:textId="63D79925" w:rsidR="00636B44" w:rsidRPr="004123FF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 </w:t>
            </w:r>
            <w:r w:rsidR="007F7FE1">
              <w:rPr>
                <w:rFonts w:ascii="Times New Roman" w:hAnsi="Times New Roman"/>
                <w:color w:val="000000"/>
                <w:sz w:val="26"/>
                <w:szCs w:val="26"/>
              </w:rPr>
              <w:t>40702810307060000697</w:t>
            </w:r>
          </w:p>
          <w:p w14:paraId="2C63BC30" w14:textId="0DA39BA2" w:rsidR="00636B44" w:rsidRDefault="003122C5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филиале АКБ «ФОРА-БАНК» (АО)</w:t>
            </w:r>
          </w:p>
          <w:p w14:paraId="4B6F80B3" w14:textId="621BECB6" w:rsidR="00636B44" w:rsidRPr="004123FF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="003122C5">
              <w:rPr>
                <w:rFonts w:ascii="Times New Roman" w:hAnsi="Times New Roman"/>
                <w:color w:val="000000"/>
                <w:sz w:val="26"/>
                <w:szCs w:val="26"/>
              </w:rPr>
              <w:t>Санкт-Петербург</w:t>
            </w:r>
          </w:p>
          <w:p w14:paraId="0FA93EC7" w14:textId="0D64E4D6" w:rsidR="00636B44" w:rsidRPr="004123FF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 </w:t>
            </w:r>
            <w:r w:rsidR="003122C5">
              <w:rPr>
                <w:rFonts w:ascii="Times New Roman" w:hAnsi="Times New Roman"/>
                <w:color w:val="000000"/>
                <w:sz w:val="26"/>
                <w:szCs w:val="26"/>
              </w:rPr>
              <w:t>30101810640300000831</w:t>
            </w:r>
          </w:p>
          <w:p w14:paraId="6ADA1369" w14:textId="0E6856D3" w:rsidR="00636B44" w:rsidRPr="00636B44" w:rsidRDefault="00636B44" w:rsidP="00636B4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  <w:r w:rsidR="003122C5">
              <w:rPr>
                <w:rFonts w:ascii="Times New Roman" w:hAnsi="Times New Roman"/>
                <w:color w:val="000000"/>
                <w:sz w:val="26"/>
                <w:szCs w:val="26"/>
              </w:rPr>
              <w:t>044030831</w:t>
            </w:r>
          </w:p>
          <w:p w14:paraId="4B27890C" w14:textId="77777777" w:rsidR="00636B44" w:rsidRDefault="00636B44" w:rsidP="00636B44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46C16C66" w14:textId="77777777" w:rsidR="00636B44" w:rsidRPr="003122C5" w:rsidRDefault="00636B44" w:rsidP="00636B4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9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12C0602B" w14:textId="77777777" w:rsidR="00CC4329" w:rsidRPr="003122C5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BCA992" w14:textId="77777777" w:rsidR="00A05060" w:rsidRDefault="00636B4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Представитель </w:t>
            </w:r>
            <w:r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филиала </w:t>
            </w:r>
          </w:p>
          <w:p w14:paraId="429AF2B3" w14:textId="1F5BFE03" w:rsidR="00636B44" w:rsidRDefault="00A05060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Экопром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636B44"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14:paraId="17AB9444" w14:textId="77777777" w:rsidR="00636B44" w:rsidRDefault="00636B4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14:paraId="7935FAAE" w14:textId="4D5D845C" w:rsidR="00CC4329" w:rsidRPr="00D139C9" w:rsidRDefault="00636B4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                              </w:t>
            </w:r>
          </w:p>
          <w:p w14:paraId="7810D20E" w14:textId="097117D9" w:rsidR="00636B44" w:rsidRDefault="00CC4329" w:rsidP="00636B4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="002C4F9E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303A123F" w14:textId="77777777" w:rsidR="00CC4329" w:rsidRPr="005D35B2" w:rsidRDefault="00CC4329" w:rsidP="00636B44">
            <w:pPr>
              <w:pStyle w:val="ConsPlusNormal"/>
              <w:spacing w:before="30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5DE8986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17AB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D139C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C19EA0A" w14:textId="47822ED7" w:rsidR="00CC2F04" w:rsidRPr="005D35B2" w:rsidRDefault="00636B44" w:rsidP="00636B44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E36682">
      <w:pPr>
        <w:pStyle w:val="ConsPlusNormal"/>
        <w:spacing w:before="3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42EDAAB9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="002C4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F9E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04765D" w:rsidRDefault="00CC4329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04765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A292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0D11065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8E1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125F9781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2F3CAE01" w:rsidR="00907098" w:rsidRPr="005D35B2" w:rsidRDefault="002C4F9E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</w:t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907098"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</w:p>
    <w:p w14:paraId="4398F2F6" w14:textId="24ECE5E8" w:rsidR="002C4F9E" w:rsidRDefault="002C4F9E" w:rsidP="002C4F9E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Представитель </w:t>
      </w:r>
      <w:r w:rsidR="00907098" w:rsidRPr="002C4F9E">
        <w:rPr>
          <w:rFonts w:ascii="Times New Roman" w:eastAsia="Calibri" w:hAnsi="Times New Roman" w:cs="Times New Roman"/>
          <w:sz w:val="26"/>
          <w:szCs w:val="26"/>
        </w:rPr>
        <w:t xml:space="preserve">филиала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Pr="005D35B2">
        <w:rPr>
          <w:rFonts w:ascii="Times New Roman" w:eastAsia="Calibri" w:hAnsi="Times New Roman"/>
          <w:sz w:val="26"/>
          <w:szCs w:val="26"/>
        </w:rPr>
        <w:t>Потребитель</w:t>
      </w:r>
    </w:p>
    <w:p w14:paraId="06A3AD52" w14:textId="10BD274A" w:rsidR="00907098" w:rsidRPr="002C4F9E" w:rsidRDefault="00907098" w:rsidP="002C4F9E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F9E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2C4F9E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2C4F9E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1A9D4436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2C4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F9E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4765D"/>
    <w:rsid w:val="00054959"/>
    <w:rsid w:val="0006055D"/>
    <w:rsid w:val="0007133E"/>
    <w:rsid w:val="00086AF8"/>
    <w:rsid w:val="00105CBC"/>
    <w:rsid w:val="0011086A"/>
    <w:rsid w:val="00114748"/>
    <w:rsid w:val="00184303"/>
    <w:rsid w:val="001928D8"/>
    <w:rsid w:val="00193B46"/>
    <w:rsid w:val="001E6D15"/>
    <w:rsid w:val="002663E2"/>
    <w:rsid w:val="002A24B5"/>
    <w:rsid w:val="002C4F9E"/>
    <w:rsid w:val="003122C5"/>
    <w:rsid w:val="00322B80"/>
    <w:rsid w:val="0038107B"/>
    <w:rsid w:val="003D7E1C"/>
    <w:rsid w:val="00403BF3"/>
    <w:rsid w:val="004123FF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07C"/>
    <w:rsid w:val="006235C7"/>
    <w:rsid w:val="00636B44"/>
    <w:rsid w:val="006A2058"/>
    <w:rsid w:val="006F3613"/>
    <w:rsid w:val="007A1218"/>
    <w:rsid w:val="007F7FE1"/>
    <w:rsid w:val="00803642"/>
    <w:rsid w:val="00853A16"/>
    <w:rsid w:val="00855658"/>
    <w:rsid w:val="0088438D"/>
    <w:rsid w:val="008C3B43"/>
    <w:rsid w:val="00904751"/>
    <w:rsid w:val="00907098"/>
    <w:rsid w:val="009120A9"/>
    <w:rsid w:val="009146EE"/>
    <w:rsid w:val="00926E78"/>
    <w:rsid w:val="00990CAA"/>
    <w:rsid w:val="009A57C9"/>
    <w:rsid w:val="009B1D1D"/>
    <w:rsid w:val="009C4E00"/>
    <w:rsid w:val="009D0739"/>
    <w:rsid w:val="009D1DEE"/>
    <w:rsid w:val="009F664E"/>
    <w:rsid w:val="00A05060"/>
    <w:rsid w:val="00A17ABB"/>
    <w:rsid w:val="00A3643C"/>
    <w:rsid w:val="00A61C9A"/>
    <w:rsid w:val="00A75455"/>
    <w:rsid w:val="00AA0C36"/>
    <w:rsid w:val="00AF73D9"/>
    <w:rsid w:val="00B46246"/>
    <w:rsid w:val="00B947C7"/>
    <w:rsid w:val="00B95F6C"/>
    <w:rsid w:val="00CB002F"/>
    <w:rsid w:val="00CC2F04"/>
    <w:rsid w:val="00CC4329"/>
    <w:rsid w:val="00D060FE"/>
    <w:rsid w:val="00D139C9"/>
    <w:rsid w:val="00D61FED"/>
    <w:rsid w:val="00D62A32"/>
    <w:rsid w:val="00D80678"/>
    <w:rsid w:val="00DF4EE0"/>
    <w:rsid w:val="00E36682"/>
    <w:rsid w:val="00E85473"/>
    <w:rsid w:val="00F10820"/>
    <w:rsid w:val="00F602B6"/>
    <w:rsid w:val="00F8403A"/>
    <w:rsid w:val="00FB01A1"/>
    <w:rsid w:val="00FB1A1F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9027FB9B-6762-4E96-8749-7D71840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636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4B653ACE255C0637949F84342BB49CEACDF690CA76923322C2D4D1D705E6DAA46919FD03522FFB9C65111BEc8N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-pskov@mehubo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A083-89FC-4599-B8BE-D8D34832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Алексеева Екатерина Александровна</cp:lastModifiedBy>
  <cp:revision>31</cp:revision>
  <cp:lastPrinted>2020-05-27T12:51:00Z</cp:lastPrinted>
  <dcterms:created xsi:type="dcterms:W3CDTF">2021-11-15T23:45:00Z</dcterms:created>
  <dcterms:modified xsi:type="dcterms:W3CDTF">2022-02-18T13:52:00Z</dcterms:modified>
</cp:coreProperties>
</file>